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22" w:rsidRDefault="00BE6F22"/>
    <w:p w:rsidR="00C6048C" w:rsidRDefault="00C6048C"/>
    <w:p w:rsidR="00C6048C" w:rsidRDefault="00C6048C" w:rsidP="00C6048C">
      <w:pPr>
        <w:jc w:val="center"/>
        <w:rPr>
          <w:b/>
          <w:u w:val="single"/>
        </w:rPr>
      </w:pPr>
      <w:r w:rsidRPr="0030671F">
        <w:rPr>
          <w:b/>
          <w:u w:val="single"/>
        </w:rPr>
        <w:t>RN Remediation/Refresher Program</w:t>
      </w:r>
    </w:p>
    <w:p w:rsidR="00C023AB" w:rsidRDefault="00C023AB" w:rsidP="00C6048C">
      <w:pPr>
        <w:jc w:val="center"/>
        <w:rPr>
          <w:b/>
          <w:u w:val="single"/>
        </w:rPr>
      </w:pPr>
    </w:p>
    <w:p w:rsidR="00D03412" w:rsidRDefault="00D03412" w:rsidP="00D03412">
      <w:pPr>
        <w:rPr>
          <w:b/>
        </w:rPr>
      </w:pPr>
      <w:r w:rsidRPr="00D03412">
        <w:rPr>
          <w:b/>
        </w:rPr>
        <w:t>Cost Breakdown</w:t>
      </w:r>
      <w:r>
        <w:rPr>
          <w:b/>
        </w:rPr>
        <w:t>:</w:t>
      </w:r>
    </w:p>
    <w:tbl>
      <w:tblPr>
        <w:tblW w:w="10840" w:type="dxa"/>
        <w:tblInd w:w="-753" w:type="dxa"/>
        <w:tblLook w:val="04A0" w:firstRow="1" w:lastRow="0" w:firstColumn="1" w:lastColumn="0" w:noHBand="0" w:noVBand="1"/>
      </w:tblPr>
      <w:tblGrid>
        <w:gridCol w:w="8910"/>
        <w:gridCol w:w="1930"/>
      </w:tblGrid>
      <w:tr w:rsidR="00421B2F" w:rsidRPr="00421B2F" w:rsidTr="00421B2F">
        <w:trPr>
          <w:trHeight w:val="244"/>
        </w:trPr>
        <w:tc>
          <w:tcPr>
            <w:tcW w:w="10840" w:type="dxa"/>
            <w:gridSpan w:val="2"/>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421B2F" w:rsidRPr="00421B2F" w:rsidRDefault="00421B2F" w:rsidP="00421B2F">
            <w:pPr>
              <w:spacing w:after="0" w:line="240" w:lineRule="auto"/>
              <w:rPr>
                <w:rFonts w:ascii="Calibri" w:eastAsia="Times New Roman" w:hAnsi="Calibri" w:cs="Calibri"/>
                <w:b/>
                <w:color w:val="000000"/>
              </w:rPr>
            </w:pPr>
            <w:r w:rsidRPr="00421B2F">
              <w:rPr>
                <w:rFonts w:ascii="Calibri" w:eastAsia="Times New Roman" w:hAnsi="Calibri" w:cs="Calibri"/>
                <w:b/>
                <w:color w:val="000000"/>
              </w:rPr>
              <w:t>Cost Breakdown: Blended CMA</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 xml:space="preserve">Instruction </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4D6466"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2,22</w:t>
            </w:r>
            <w:r w:rsidR="00421B2F">
              <w:rPr>
                <w:rFonts w:ascii="Calibri" w:eastAsia="Times New Roman" w:hAnsi="Calibri" w:cs="Calibri"/>
                <w:color w:val="000000"/>
              </w:rPr>
              <w:t>5</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Books</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Uniform</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55</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Drug and background screenings</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812AA8"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Supply Fees</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jc w:val="right"/>
              <w:rPr>
                <w:rFonts w:ascii="Calibri" w:eastAsia="Times New Roman" w:hAnsi="Calibri" w:cs="Calibri"/>
                <w:color w:val="000000"/>
              </w:rPr>
            </w:pPr>
            <w:r w:rsidRPr="00421B2F">
              <w:rPr>
                <w:rFonts w:ascii="Calibri" w:eastAsia="Times New Roman" w:hAnsi="Calibri" w:cs="Calibri"/>
                <w:color w:val="000000"/>
              </w:rPr>
              <w:t>165</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7E4562" w:rsidP="00421B2F">
            <w:pPr>
              <w:spacing w:after="0" w:line="240" w:lineRule="auto"/>
              <w:rPr>
                <w:rFonts w:ascii="Calibri" w:eastAsia="Calibri" w:hAnsi="Calibri" w:cs="Calibri"/>
                <w:lang w:bidi="en-US"/>
              </w:rPr>
            </w:pPr>
            <w:r>
              <w:rPr>
                <w:rFonts w:ascii="Calibri" w:eastAsia="Calibri" w:hAnsi="Calibri" w:cs="Calibri"/>
                <w:lang w:bidi="en-US"/>
              </w:rPr>
              <w:t>On-line Access fees</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812AA8"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421B2F" w:rsidRPr="00421B2F">
              <w:rPr>
                <w:rFonts w:ascii="Calibri" w:eastAsia="Times New Roman" w:hAnsi="Calibri" w:cs="Calibri"/>
                <w:color w:val="000000"/>
              </w:rPr>
              <w:t>50</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auto"/>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 xml:space="preserve">Miscellaneous fees </w:t>
            </w:r>
          </w:p>
        </w:tc>
        <w:tc>
          <w:tcPr>
            <w:tcW w:w="1930" w:type="dxa"/>
            <w:tcBorders>
              <w:top w:val="nil"/>
              <w:left w:val="nil"/>
              <w:bottom w:val="single" w:sz="8" w:space="0" w:color="auto"/>
              <w:right w:val="single" w:sz="8" w:space="0" w:color="auto"/>
            </w:tcBorders>
            <w:shd w:val="clear" w:color="auto" w:fill="auto"/>
            <w:noWrap/>
            <w:vAlign w:val="bottom"/>
            <w:hideMark/>
          </w:tcPr>
          <w:p w:rsidR="00421B2F" w:rsidRPr="00421B2F" w:rsidRDefault="00812AA8" w:rsidP="00421B2F">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00421B2F" w:rsidRPr="00421B2F">
              <w:rPr>
                <w:rFonts w:ascii="Calibri" w:eastAsia="Times New Roman" w:hAnsi="Calibri" w:cs="Calibri"/>
                <w:color w:val="000000"/>
              </w:rPr>
              <w:t>0</w:t>
            </w:r>
          </w:p>
        </w:tc>
      </w:tr>
      <w:tr w:rsidR="00421B2F" w:rsidRPr="00421B2F" w:rsidTr="00421B2F">
        <w:trPr>
          <w:trHeight w:val="244"/>
        </w:trPr>
        <w:tc>
          <w:tcPr>
            <w:tcW w:w="8910" w:type="dxa"/>
            <w:tcBorders>
              <w:top w:val="nil"/>
              <w:left w:val="single" w:sz="8" w:space="0" w:color="auto"/>
              <w:bottom w:val="single" w:sz="8" w:space="0" w:color="auto"/>
              <w:right w:val="single" w:sz="8" w:space="0" w:color="auto"/>
            </w:tcBorders>
            <w:shd w:val="clear" w:color="auto" w:fill="BFBFBF"/>
            <w:noWrap/>
            <w:vAlign w:val="bottom"/>
            <w:hideMark/>
          </w:tcPr>
          <w:p w:rsidR="00421B2F" w:rsidRPr="00421B2F" w:rsidRDefault="00421B2F" w:rsidP="00421B2F">
            <w:pPr>
              <w:spacing w:after="0" w:line="240" w:lineRule="auto"/>
              <w:rPr>
                <w:rFonts w:ascii="Calibri" w:eastAsia="Calibri" w:hAnsi="Calibri" w:cs="Calibri"/>
                <w:lang w:bidi="en-US"/>
              </w:rPr>
            </w:pPr>
            <w:r w:rsidRPr="00421B2F">
              <w:rPr>
                <w:rFonts w:ascii="Calibri" w:eastAsia="Calibri" w:hAnsi="Calibri" w:cs="Calibri"/>
                <w:lang w:bidi="en-US"/>
              </w:rPr>
              <w:t>Total</w:t>
            </w:r>
          </w:p>
        </w:tc>
        <w:tc>
          <w:tcPr>
            <w:tcW w:w="1930" w:type="dxa"/>
            <w:tcBorders>
              <w:top w:val="nil"/>
              <w:left w:val="nil"/>
              <w:bottom w:val="single" w:sz="8" w:space="0" w:color="auto"/>
              <w:right w:val="single" w:sz="8" w:space="0" w:color="auto"/>
            </w:tcBorders>
            <w:shd w:val="clear" w:color="auto" w:fill="BFBFBF"/>
            <w:noWrap/>
            <w:vAlign w:val="bottom"/>
            <w:hideMark/>
          </w:tcPr>
          <w:p w:rsidR="00421B2F" w:rsidRPr="00421B2F" w:rsidRDefault="00421B2F" w:rsidP="00421B2F">
            <w:pPr>
              <w:spacing w:after="0" w:line="240" w:lineRule="auto"/>
              <w:jc w:val="right"/>
              <w:rPr>
                <w:rFonts w:ascii="Calibri" w:eastAsia="Times New Roman" w:hAnsi="Calibri" w:cs="Calibri"/>
                <w:color w:val="000000"/>
              </w:rPr>
            </w:pPr>
            <w:r w:rsidRPr="00421B2F">
              <w:rPr>
                <w:rFonts w:ascii="Calibri" w:eastAsia="Times New Roman" w:hAnsi="Calibri" w:cs="Calibri"/>
                <w:color w:val="000000"/>
              </w:rPr>
              <w:t>$3,</w:t>
            </w:r>
            <w:r w:rsidR="004D6466">
              <w:rPr>
                <w:rFonts w:ascii="Calibri" w:eastAsia="Times New Roman" w:hAnsi="Calibri" w:cs="Calibri"/>
                <w:color w:val="000000"/>
              </w:rPr>
              <w:t>19</w:t>
            </w:r>
            <w:r w:rsidR="00812AA8">
              <w:rPr>
                <w:rFonts w:ascii="Calibri" w:eastAsia="Times New Roman" w:hAnsi="Calibri" w:cs="Calibri"/>
                <w:color w:val="000000"/>
              </w:rPr>
              <w:t>5</w:t>
            </w:r>
          </w:p>
        </w:tc>
      </w:tr>
    </w:tbl>
    <w:p w:rsidR="00D03412" w:rsidRPr="00D03412" w:rsidRDefault="00D03412" w:rsidP="00D03412">
      <w:pPr>
        <w:rPr>
          <w:b/>
        </w:rPr>
      </w:pPr>
    </w:p>
    <w:p w:rsidR="00C023AB" w:rsidRDefault="00C023AB" w:rsidP="00C023AB">
      <w:pPr>
        <w:rPr>
          <w:b/>
        </w:rPr>
      </w:pPr>
      <w:r w:rsidRPr="00C023AB">
        <w:rPr>
          <w:b/>
        </w:rPr>
        <w:t xml:space="preserve">Program Description: </w:t>
      </w:r>
    </w:p>
    <w:p w:rsidR="00C023AB" w:rsidRDefault="00C023AB" w:rsidP="00C023AB">
      <w:pPr>
        <w:rPr>
          <w:rFonts w:eastAsiaTheme="minorEastAsia"/>
          <w:noProof/>
        </w:rPr>
      </w:pPr>
      <w:bookmarkStart w:id="0" w:name="_GoBack"/>
      <w:r>
        <w:rPr>
          <w:rFonts w:eastAsiaTheme="minorEastAsia"/>
          <w:noProof/>
        </w:rPr>
        <w:t xml:space="preserve">The course is designed to prepare individuals who currently </w:t>
      </w:r>
      <w:r w:rsidRPr="00C023AB">
        <w:rPr>
          <w:rFonts w:eastAsiaTheme="minorEastAsia"/>
          <w:noProof/>
        </w:rPr>
        <w:t>do not</w:t>
      </w:r>
      <w:r>
        <w:rPr>
          <w:rFonts w:eastAsiaTheme="minorEastAsia"/>
          <w:noProof/>
        </w:rPr>
        <w:t xml:space="preserve"> have an active RN license to pass the NCLEX. Your RN license may have expired OR you have taken the NCLEX three times unsuccessfully. If you are currently licensed as an RN in Florida, you can choose to take this course as well. If you have an inactive license, considered an “out of country” RN, or have taken the NCLEX exam 3 times you take the RN Remediation course.</w:t>
      </w:r>
    </w:p>
    <w:p w:rsidR="007E0EAF" w:rsidRDefault="007E0EAF" w:rsidP="00C023AB">
      <w:pPr>
        <w:rPr>
          <w:rFonts w:eastAsiaTheme="minorEastAsia"/>
          <w:noProof/>
        </w:rPr>
      </w:pPr>
      <w:r>
        <w:rPr>
          <w:rFonts w:eastAsiaTheme="minorEastAsia"/>
          <w:noProof/>
        </w:rPr>
        <w:t xml:space="preserve">At this time, you must live in Florida. Clinical Preceptorship will take place in a local Tampa Bay hospital. </w:t>
      </w:r>
    </w:p>
    <w:p w:rsidR="00F62125" w:rsidRPr="00F62125" w:rsidRDefault="00F62125" w:rsidP="00F62125">
      <w:pPr>
        <w:rPr>
          <w:rFonts w:eastAsiaTheme="minorEastAsia"/>
          <w:noProof/>
        </w:rPr>
      </w:pPr>
      <w:r w:rsidRPr="00F62125">
        <w:rPr>
          <w:rFonts w:eastAsiaTheme="minorEastAsia"/>
          <w:noProof/>
        </w:rPr>
        <w:t>This course will provide an extensive review of medical-surgical nursing and maternal-child nursing. It will include special topics including, but not limited to: geriatric, mental health nursing, pharmacology, and RN nursing procedures. It will include both theory and clinical practice. This course is approved by the Florida Board of Nursing for graduate nurses who have been unsuccessful in passing the NCLEX-RN three times and are required to take a remedial course. The goal is to help you pass NCLEX-RN and help you transition into a safe and competent nurse.</w:t>
      </w:r>
    </w:p>
    <w:p w:rsidR="00F62125" w:rsidRPr="00F62125" w:rsidRDefault="00F62125" w:rsidP="00F62125">
      <w:pPr>
        <w:rPr>
          <w:rFonts w:eastAsiaTheme="minorEastAsia"/>
          <w:noProof/>
        </w:rPr>
      </w:pPr>
      <w:r>
        <w:rPr>
          <w:color w:val="000000"/>
          <w:shd w:val="clear" w:color="auto" w:fill="FFFFFF"/>
        </w:rPr>
        <w:t>This is a combined course. T</w:t>
      </w:r>
      <w:r w:rsidR="00297B88">
        <w:rPr>
          <w:color w:val="000000"/>
          <w:shd w:val="clear" w:color="auto" w:fill="FFFFFF"/>
        </w:rPr>
        <w:t>he online didactic course is (21</w:t>
      </w:r>
      <w:r>
        <w:rPr>
          <w:color w:val="000000"/>
          <w:shd w:val="clear" w:color="auto" w:fill="FFFFFF"/>
        </w:rPr>
        <w:t>) weeks long; </w:t>
      </w:r>
      <w:r w:rsidR="004D6466">
        <w:rPr>
          <w:b/>
          <w:bCs/>
          <w:i/>
          <w:iCs/>
          <w:color w:val="000000"/>
          <w:shd w:val="clear" w:color="auto" w:fill="FFFFFF"/>
        </w:rPr>
        <w:t>theory</w:t>
      </w:r>
      <w:r>
        <w:rPr>
          <w:b/>
          <w:bCs/>
          <w:i/>
          <w:iCs/>
          <w:color w:val="000000"/>
          <w:shd w:val="clear" w:color="auto" w:fill="FFFFFF"/>
        </w:rPr>
        <w:t xml:space="preserve"> is </w:t>
      </w:r>
      <w:r w:rsidR="004D6466">
        <w:rPr>
          <w:b/>
          <w:bCs/>
          <w:i/>
          <w:iCs/>
          <w:color w:val="000000"/>
          <w:shd w:val="clear" w:color="auto" w:fill="FFFFFF"/>
        </w:rPr>
        <w:t xml:space="preserve">100% online. </w:t>
      </w:r>
      <w:r w:rsidR="007E4562">
        <w:rPr>
          <w:color w:val="000000"/>
          <w:shd w:val="clear" w:color="auto" w:fill="FFFFFF"/>
        </w:rPr>
        <w:t xml:space="preserve">There will be </w:t>
      </w:r>
      <w:proofErr w:type="gramStart"/>
      <w:r>
        <w:rPr>
          <w:color w:val="000000"/>
          <w:shd w:val="clear" w:color="auto" w:fill="FFFFFF"/>
        </w:rPr>
        <w:t>2</w:t>
      </w:r>
      <w:proofErr w:type="gramEnd"/>
      <w:r>
        <w:rPr>
          <w:color w:val="000000"/>
          <w:shd w:val="clear" w:color="auto" w:fill="FFFFFF"/>
        </w:rPr>
        <w:t xml:space="preserve"> in person skills checkoff</w:t>
      </w:r>
      <w:r w:rsidR="007E4562">
        <w:rPr>
          <w:color w:val="000000"/>
          <w:shd w:val="clear" w:color="auto" w:fill="FFFFFF"/>
        </w:rPr>
        <w:t>/lab days</w:t>
      </w:r>
      <w:r>
        <w:rPr>
          <w:color w:val="000000"/>
          <w:shd w:val="clear" w:color="auto" w:fill="FFFFFF"/>
        </w:rPr>
        <w:t xml:space="preserve"> offerings at SPC’s HEC campus. Dates TBD. There will be several associated deadlines to meet for practice NCLEX exams completed on a separate platform. All assignments must be completed and submitted as satisfactory by the end of the didactic online course component.</w:t>
      </w:r>
    </w:p>
    <w:bookmarkEnd w:id="0"/>
    <w:p w:rsidR="00F62125" w:rsidRPr="00F62125" w:rsidRDefault="00F62125" w:rsidP="00F62125">
      <w:pPr>
        <w:pStyle w:val="NormalWeb"/>
        <w:spacing w:after="0" w:afterAutospacing="0" w:line="276" w:lineRule="atLeast"/>
        <w:rPr>
          <w:rFonts w:asciiTheme="minorHAnsi" w:hAnsiTheme="minorHAnsi" w:cstheme="minorHAnsi"/>
          <w:color w:val="000000"/>
          <w:sz w:val="27"/>
          <w:szCs w:val="27"/>
        </w:rPr>
      </w:pPr>
      <w:r w:rsidRPr="00F62125">
        <w:rPr>
          <w:rFonts w:asciiTheme="minorHAnsi" w:hAnsiTheme="minorHAnsi" w:cstheme="minorHAnsi"/>
          <w:b/>
          <w:bCs/>
          <w:color w:val="000000"/>
          <w:sz w:val="22"/>
          <w:szCs w:val="22"/>
        </w:rPr>
        <w:t>Required Textbooks:</w:t>
      </w:r>
    </w:p>
    <w:p w:rsidR="00F62125" w:rsidRPr="00F62125" w:rsidRDefault="00F62125" w:rsidP="00F62125">
      <w:pPr>
        <w:pStyle w:val="NormalWeb"/>
        <w:numPr>
          <w:ilvl w:val="0"/>
          <w:numId w:val="5"/>
        </w:numPr>
        <w:spacing w:after="0" w:afterAutospacing="0" w:line="240" w:lineRule="atLeast"/>
        <w:rPr>
          <w:rFonts w:asciiTheme="minorHAnsi" w:hAnsiTheme="minorHAnsi" w:cstheme="minorHAnsi"/>
          <w:color w:val="000000"/>
          <w:sz w:val="27"/>
          <w:szCs w:val="27"/>
        </w:rPr>
      </w:pPr>
      <w:r w:rsidRPr="00F62125">
        <w:rPr>
          <w:rFonts w:asciiTheme="minorHAnsi" w:hAnsiTheme="minorHAnsi" w:cstheme="minorHAnsi"/>
          <w:color w:val="000000"/>
          <w:sz w:val="22"/>
          <w:szCs w:val="22"/>
        </w:rPr>
        <w:t>Honan, L. (2019). </w:t>
      </w:r>
      <w:r w:rsidRPr="00F62125">
        <w:rPr>
          <w:rFonts w:asciiTheme="minorHAnsi" w:hAnsiTheme="minorHAnsi" w:cstheme="minorHAnsi"/>
          <w:i/>
          <w:iCs/>
          <w:color w:val="000000"/>
          <w:sz w:val="22"/>
          <w:szCs w:val="22"/>
        </w:rPr>
        <w:t>Focus on adult health medical-surgical nursing.</w:t>
      </w:r>
    </w:p>
    <w:p w:rsidR="00F62125" w:rsidRPr="00F62125" w:rsidRDefault="00F62125" w:rsidP="00F62125">
      <w:pPr>
        <w:pStyle w:val="NormalWeb"/>
        <w:spacing w:after="0" w:afterAutospacing="0" w:line="240" w:lineRule="atLeast"/>
        <w:ind w:left="1440"/>
        <w:rPr>
          <w:rFonts w:asciiTheme="minorHAnsi" w:hAnsiTheme="minorHAnsi" w:cstheme="minorHAnsi"/>
          <w:color w:val="000000"/>
          <w:sz w:val="27"/>
          <w:szCs w:val="27"/>
        </w:rPr>
      </w:pPr>
      <w:r w:rsidRPr="00F62125">
        <w:rPr>
          <w:rFonts w:asciiTheme="minorHAnsi" w:hAnsiTheme="minorHAnsi" w:cstheme="minorHAnsi"/>
          <w:color w:val="000000"/>
          <w:sz w:val="22"/>
          <w:szCs w:val="22"/>
        </w:rPr>
        <w:t>(2</w:t>
      </w:r>
      <w:r w:rsidRPr="00F62125">
        <w:rPr>
          <w:rFonts w:asciiTheme="minorHAnsi" w:hAnsiTheme="minorHAnsi" w:cstheme="minorHAnsi"/>
          <w:color w:val="000000"/>
          <w:sz w:val="22"/>
          <w:szCs w:val="22"/>
          <w:vertAlign w:val="superscript"/>
        </w:rPr>
        <w:t>nd</w:t>
      </w:r>
      <w:r w:rsidRPr="00F62125">
        <w:rPr>
          <w:rFonts w:asciiTheme="minorHAnsi" w:hAnsiTheme="minorHAnsi" w:cstheme="minorHAnsi"/>
          <w:color w:val="000000"/>
          <w:sz w:val="22"/>
          <w:szCs w:val="22"/>
        </w:rPr>
        <w:t> </w:t>
      </w:r>
      <w:proofErr w:type="spellStart"/>
      <w:proofErr w:type="gramStart"/>
      <w:r w:rsidRPr="00F62125">
        <w:rPr>
          <w:rFonts w:asciiTheme="minorHAnsi" w:hAnsiTheme="minorHAnsi" w:cstheme="minorHAnsi"/>
          <w:color w:val="000000"/>
          <w:sz w:val="22"/>
          <w:szCs w:val="22"/>
        </w:rPr>
        <w:t>ed</w:t>
      </w:r>
      <w:proofErr w:type="spellEnd"/>
      <w:proofErr w:type="gramEnd"/>
      <w:r w:rsidRPr="00F62125">
        <w:rPr>
          <w:rFonts w:asciiTheme="minorHAnsi" w:hAnsiTheme="minorHAnsi" w:cstheme="minorHAnsi"/>
          <w:color w:val="000000"/>
          <w:sz w:val="22"/>
          <w:szCs w:val="22"/>
        </w:rPr>
        <w:t>). Philadelphia, PA: Wolters Kluwer Health.</w:t>
      </w:r>
    </w:p>
    <w:p w:rsidR="00F62125" w:rsidRPr="00F62125" w:rsidRDefault="00F62125" w:rsidP="00F62125">
      <w:pPr>
        <w:pStyle w:val="NormalWeb"/>
        <w:spacing w:after="0" w:afterAutospacing="0" w:line="240" w:lineRule="atLeast"/>
        <w:ind w:left="1440"/>
        <w:rPr>
          <w:rFonts w:asciiTheme="minorHAnsi" w:hAnsiTheme="minorHAnsi" w:cstheme="minorHAnsi"/>
          <w:color w:val="000000"/>
          <w:sz w:val="27"/>
          <w:szCs w:val="27"/>
        </w:rPr>
      </w:pPr>
      <w:r w:rsidRPr="00F62125">
        <w:rPr>
          <w:rFonts w:asciiTheme="minorHAnsi" w:hAnsiTheme="minorHAnsi" w:cstheme="minorHAnsi"/>
          <w:color w:val="000000"/>
          <w:sz w:val="22"/>
          <w:szCs w:val="22"/>
        </w:rPr>
        <w:lastRenderedPageBreak/>
        <w:t>ISBN: 9781496349286</w:t>
      </w:r>
    </w:p>
    <w:p w:rsidR="00F62125" w:rsidRPr="00F62125" w:rsidRDefault="00F62125" w:rsidP="00F62125">
      <w:pPr>
        <w:pStyle w:val="NormalWeb"/>
        <w:numPr>
          <w:ilvl w:val="0"/>
          <w:numId w:val="6"/>
        </w:numPr>
        <w:spacing w:after="0" w:afterAutospacing="0" w:line="240" w:lineRule="atLeast"/>
        <w:rPr>
          <w:rFonts w:asciiTheme="minorHAnsi" w:hAnsiTheme="minorHAnsi" w:cstheme="minorHAnsi"/>
          <w:color w:val="000000"/>
          <w:sz w:val="27"/>
          <w:szCs w:val="27"/>
        </w:rPr>
      </w:pPr>
      <w:r w:rsidRPr="00F62125">
        <w:rPr>
          <w:rFonts w:asciiTheme="minorHAnsi" w:hAnsiTheme="minorHAnsi" w:cstheme="minorHAnsi"/>
          <w:color w:val="000000"/>
          <w:sz w:val="22"/>
          <w:szCs w:val="22"/>
        </w:rPr>
        <w:t xml:space="preserve">Hatfield, N.T. &amp; </w:t>
      </w:r>
      <w:proofErr w:type="spellStart"/>
      <w:r w:rsidRPr="00F62125">
        <w:rPr>
          <w:rFonts w:asciiTheme="minorHAnsi" w:hAnsiTheme="minorHAnsi" w:cstheme="minorHAnsi"/>
          <w:color w:val="000000"/>
          <w:sz w:val="22"/>
          <w:szCs w:val="22"/>
        </w:rPr>
        <w:t>Kincheloe</w:t>
      </w:r>
      <w:proofErr w:type="spellEnd"/>
      <w:r w:rsidRPr="00F62125">
        <w:rPr>
          <w:rFonts w:asciiTheme="minorHAnsi" w:hAnsiTheme="minorHAnsi" w:cstheme="minorHAnsi"/>
          <w:color w:val="000000"/>
          <w:sz w:val="22"/>
          <w:szCs w:val="22"/>
        </w:rPr>
        <w:t>, C.A. (2018). </w:t>
      </w:r>
      <w:r w:rsidRPr="00F62125">
        <w:rPr>
          <w:rFonts w:asciiTheme="minorHAnsi" w:hAnsiTheme="minorHAnsi" w:cstheme="minorHAnsi"/>
          <w:i/>
          <w:iCs/>
          <w:color w:val="000000"/>
          <w:sz w:val="22"/>
          <w:szCs w:val="22"/>
        </w:rPr>
        <w:t>Introductory maternity &amp; pediatric nursing. </w:t>
      </w:r>
      <w:r w:rsidRPr="00F62125">
        <w:rPr>
          <w:rFonts w:asciiTheme="minorHAnsi" w:hAnsiTheme="minorHAnsi" w:cstheme="minorHAnsi"/>
          <w:color w:val="000000"/>
          <w:sz w:val="22"/>
          <w:szCs w:val="22"/>
        </w:rPr>
        <w:t>(4</w:t>
      </w:r>
      <w:r w:rsidRPr="00F62125">
        <w:rPr>
          <w:rFonts w:asciiTheme="minorHAnsi" w:hAnsiTheme="minorHAnsi" w:cstheme="minorHAnsi"/>
          <w:color w:val="000000"/>
          <w:sz w:val="22"/>
          <w:szCs w:val="22"/>
          <w:vertAlign w:val="superscript"/>
        </w:rPr>
        <w:t>th</w:t>
      </w:r>
      <w:r w:rsidRPr="00F62125">
        <w:rPr>
          <w:rFonts w:asciiTheme="minorHAnsi" w:hAnsiTheme="minorHAnsi" w:cstheme="minorHAnsi"/>
          <w:color w:val="000000"/>
          <w:sz w:val="22"/>
          <w:szCs w:val="22"/>
        </w:rPr>
        <w:t> </w:t>
      </w:r>
      <w:proofErr w:type="spellStart"/>
      <w:proofErr w:type="gramStart"/>
      <w:r w:rsidRPr="00F62125">
        <w:rPr>
          <w:rFonts w:asciiTheme="minorHAnsi" w:hAnsiTheme="minorHAnsi" w:cstheme="minorHAnsi"/>
          <w:color w:val="000000"/>
          <w:sz w:val="22"/>
          <w:szCs w:val="22"/>
        </w:rPr>
        <w:t>ed</w:t>
      </w:r>
      <w:proofErr w:type="spellEnd"/>
      <w:proofErr w:type="gramEnd"/>
      <w:r w:rsidRPr="00F62125">
        <w:rPr>
          <w:rFonts w:asciiTheme="minorHAnsi" w:hAnsiTheme="minorHAnsi" w:cstheme="minorHAnsi"/>
          <w:color w:val="000000"/>
          <w:sz w:val="22"/>
          <w:szCs w:val="22"/>
        </w:rPr>
        <w:t>). Philadelphia, PA: Wolters Kluwer Health.</w:t>
      </w:r>
    </w:p>
    <w:p w:rsidR="00F62125" w:rsidRDefault="00F62125" w:rsidP="00F62125">
      <w:pPr>
        <w:pStyle w:val="NormalWeb"/>
        <w:spacing w:after="0" w:afterAutospacing="0" w:line="240" w:lineRule="atLeast"/>
        <w:ind w:left="1440"/>
        <w:rPr>
          <w:rFonts w:asciiTheme="minorHAnsi" w:hAnsiTheme="minorHAnsi" w:cstheme="minorHAnsi"/>
          <w:color w:val="000000"/>
          <w:sz w:val="22"/>
          <w:szCs w:val="22"/>
        </w:rPr>
      </w:pPr>
      <w:r w:rsidRPr="00F62125">
        <w:rPr>
          <w:rFonts w:asciiTheme="minorHAnsi" w:hAnsiTheme="minorHAnsi" w:cstheme="minorHAnsi"/>
          <w:color w:val="000000"/>
          <w:sz w:val="22"/>
          <w:szCs w:val="22"/>
        </w:rPr>
        <w:t>ISBN: 9781496346643</w:t>
      </w:r>
    </w:p>
    <w:p w:rsidR="00F62125" w:rsidRDefault="00F62125" w:rsidP="00F62125">
      <w:pPr>
        <w:pStyle w:val="NormalWeb"/>
        <w:spacing w:after="0" w:afterAutospacing="0" w:line="240" w:lineRule="atLeast"/>
        <w:ind w:left="1440"/>
        <w:rPr>
          <w:rFonts w:asciiTheme="minorHAnsi" w:hAnsiTheme="minorHAnsi" w:cstheme="minorHAnsi"/>
          <w:color w:val="000000"/>
          <w:sz w:val="22"/>
          <w:szCs w:val="22"/>
        </w:rPr>
      </w:pPr>
    </w:p>
    <w:p w:rsidR="00F62125" w:rsidRDefault="00F62125" w:rsidP="00C023AB">
      <w:pPr>
        <w:rPr>
          <w:color w:val="000000"/>
          <w:shd w:val="clear" w:color="auto" w:fill="FFFFFF"/>
        </w:rPr>
      </w:pPr>
      <w:r>
        <w:rPr>
          <w:b/>
          <w:bCs/>
          <w:color w:val="000000"/>
          <w:shd w:val="clear" w:color="auto" w:fill="FFFFFF"/>
        </w:rPr>
        <w:t>Course Time Commitment</w:t>
      </w:r>
      <w:r>
        <w:rPr>
          <w:color w:val="000000"/>
          <w:shd w:val="clear" w:color="auto" w:fill="FFFFFF"/>
        </w:rPr>
        <w:t>:</w:t>
      </w:r>
    </w:p>
    <w:p w:rsidR="00F62125" w:rsidRDefault="00F62125" w:rsidP="00C023AB">
      <w:pPr>
        <w:rPr>
          <w:rFonts w:eastAsiaTheme="minorEastAsia"/>
          <w:noProof/>
        </w:rPr>
      </w:pPr>
      <w:r>
        <w:rPr>
          <w:color w:val="000000"/>
          <w:shd w:val="clear" w:color="auto" w:fill="FFFFFF"/>
        </w:rPr>
        <w:t>This online course is organized in</w:t>
      </w:r>
      <w:r w:rsidR="004D6466">
        <w:rPr>
          <w:color w:val="000000"/>
          <w:shd w:val="clear" w:color="auto" w:fill="FFFFFF"/>
        </w:rPr>
        <w:t>to Units, which are completed in a timely manner, due dates are provided</w:t>
      </w:r>
      <w:r>
        <w:rPr>
          <w:color w:val="000000"/>
          <w:shd w:val="clear" w:color="auto" w:fill="FFFFFF"/>
        </w:rPr>
        <w:t>. It is expected that you will complete 210 hours o</w:t>
      </w:r>
      <w:r w:rsidR="00372784">
        <w:rPr>
          <w:color w:val="000000"/>
          <w:shd w:val="clear" w:color="auto" w:fill="FFFFFF"/>
        </w:rPr>
        <w:t>f online didactic work in the 21</w:t>
      </w:r>
      <w:r>
        <w:rPr>
          <w:color w:val="000000"/>
          <w:shd w:val="clear" w:color="auto" w:fill="FFFFFF"/>
        </w:rPr>
        <w:t xml:space="preserve"> weeks. You will be expected to complete 96 hours with your preceptor on a Medical-Surgical Hospital unit during the Summer Term, 2019.</w:t>
      </w:r>
    </w:p>
    <w:p w:rsidR="00F62125" w:rsidRPr="007E0EAF" w:rsidRDefault="00297B88" w:rsidP="00C023AB">
      <w:pPr>
        <w:rPr>
          <w:rFonts w:eastAsiaTheme="minorEastAsia"/>
          <w:b/>
          <w:noProof/>
        </w:rPr>
      </w:pPr>
      <w:r w:rsidRPr="007E0EAF">
        <w:rPr>
          <w:rFonts w:eastAsiaTheme="minorEastAsia"/>
          <w:b/>
          <w:noProof/>
        </w:rPr>
        <w:t xml:space="preserve">Clinical Placement Eligibility: </w:t>
      </w:r>
    </w:p>
    <w:p w:rsidR="00297B88" w:rsidRDefault="00297B88" w:rsidP="00C023AB">
      <w:pPr>
        <w:rPr>
          <w:rFonts w:eastAsiaTheme="minorEastAsia"/>
          <w:noProof/>
        </w:rPr>
      </w:pPr>
      <w:r>
        <w:rPr>
          <w:rFonts w:eastAsiaTheme="minorEastAsia"/>
          <w:noProof/>
        </w:rPr>
        <w:t>Students who successfully complete the on-line content of the course,</w:t>
      </w:r>
      <w:r w:rsidR="00372784">
        <w:rPr>
          <w:rFonts w:eastAsiaTheme="minorEastAsia"/>
          <w:noProof/>
        </w:rPr>
        <w:t xml:space="preserve"> comply with required immunizations, and</w:t>
      </w:r>
      <w:r>
        <w:rPr>
          <w:rFonts w:eastAsiaTheme="minorEastAsia"/>
          <w:noProof/>
        </w:rPr>
        <w:t xml:space="preserve"> pass the</w:t>
      </w:r>
      <w:r w:rsidR="00372784">
        <w:rPr>
          <w:rFonts w:eastAsiaTheme="minorEastAsia"/>
          <w:noProof/>
        </w:rPr>
        <w:t xml:space="preserve"> drug and background screenings may</w:t>
      </w:r>
      <w:r>
        <w:rPr>
          <w:rFonts w:eastAsiaTheme="minorEastAsia"/>
          <w:noProof/>
        </w:rPr>
        <w:t xml:space="preserve"> be eligble. </w:t>
      </w:r>
      <w:r w:rsidR="00372784">
        <w:rPr>
          <w:rFonts w:eastAsiaTheme="minorEastAsia"/>
          <w:noProof/>
        </w:rPr>
        <w:t xml:space="preserve">Please review the </w:t>
      </w:r>
      <w:r w:rsidR="001900BE">
        <w:rPr>
          <w:rFonts w:eastAsiaTheme="minorEastAsia"/>
          <w:noProof/>
        </w:rPr>
        <w:t>full</w:t>
      </w:r>
      <w:r w:rsidR="00372784">
        <w:rPr>
          <w:rFonts w:eastAsiaTheme="minorEastAsia"/>
          <w:noProof/>
        </w:rPr>
        <w:t xml:space="preserve"> list of clinical requirements.</w:t>
      </w:r>
    </w:p>
    <w:p w:rsidR="00297B88" w:rsidRDefault="00297B88" w:rsidP="00C023AB">
      <w:pPr>
        <w:rPr>
          <w:rFonts w:eastAsiaTheme="minorEastAsia"/>
          <w:noProof/>
        </w:rPr>
      </w:pPr>
      <w:r w:rsidRPr="00297B88">
        <w:rPr>
          <w:rFonts w:eastAsiaTheme="minorEastAsia"/>
          <w:b/>
          <w:noProof/>
        </w:rPr>
        <w:t>Academic success</w:t>
      </w:r>
      <w:r>
        <w:rPr>
          <w:rFonts w:eastAsiaTheme="minorEastAsia"/>
          <w:noProof/>
        </w:rPr>
        <w:t xml:space="preserve"> is determined by the following: </w:t>
      </w:r>
    </w:p>
    <w:p w:rsidR="00297B88" w:rsidRPr="00297B88" w:rsidRDefault="00297B88" w:rsidP="00297B88">
      <w:pPr>
        <w:numPr>
          <w:ilvl w:val="0"/>
          <w:numId w:val="7"/>
        </w:numPr>
        <w:rPr>
          <w:rFonts w:eastAsiaTheme="minorEastAsia"/>
          <w:noProof/>
        </w:rPr>
      </w:pPr>
      <w:r w:rsidRPr="00297B88">
        <w:rPr>
          <w:rFonts w:eastAsiaTheme="minorEastAsia"/>
          <w:noProof/>
        </w:rPr>
        <w:t>Each submitted and graded assignment is only considered satisfactory if graded at 70% or higher. Multiple attempts are acceptable in order to meet the required 70%.</w:t>
      </w:r>
    </w:p>
    <w:p w:rsidR="00297B88" w:rsidRPr="00297B88" w:rsidRDefault="00297B88" w:rsidP="00297B88">
      <w:pPr>
        <w:numPr>
          <w:ilvl w:val="0"/>
          <w:numId w:val="7"/>
        </w:numPr>
        <w:rPr>
          <w:rFonts w:eastAsiaTheme="minorEastAsia"/>
          <w:noProof/>
        </w:rPr>
      </w:pPr>
      <w:r w:rsidRPr="00297B88">
        <w:rPr>
          <w:rFonts w:eastAsiaTheme="minorEastAsia"/>
          <w:noProof/>
        </w:rPr>
        <w:t>Cumulative course grade must be satisfactory.</w:t>
      </w:r>
    </w:p>
    <w:p w:rsidR="00297B88" w:rsidRPr="00297B88" w:rsidRDefault="00297B88" w:rsidP="00297B88">
      <w:pPr>
        <w:numPr>
          <w:ilvl w:val="1"/>
          <w:numId w:val="7"/>
        </w:numPr>
        <w:rPr>
          <w:rFonts w:eastAsiaTheme="minorEastAsia"/>
          <w:noProof/>
        </w:rPr>
      </w:pPr>
      <w:r w:rsidRPr="00297B88">
        <w:rPr>
          <w:rFonts w:eastAsiaTheme="minorEastAsia"/>
          <w:noProof/>
        </w:rPr>
        <w:t>Cumulative grade 75% for Professional RN license re-activation</w:t>
      </w:r>
    </w:p>
    <w:p w:rsidR="00297B88" w:rsidRPr="00297B88" w:rsidRDefault="00297B88" w:rsidP="00297B88">
      <w:pPr>
        <w:numPr>
          <w:ilvl w:val="1"/>
          <w:numId w:val="7"/>
        </w:numPr>
        <w:rPr>
          <w:rFonts w:eastAsiaTheme="minorEastAsia"/>
          <w:noProof/>
        </w:rPr>
      </w:pPr>
      <w:r w:rsidRPr="00297B88">
        <w:rPr>
          <w:rFonts w:eastAsiaTheme="minorEastAsia"/>
          <w:noProof/>
        </w:rPr>
        <w:t>Cumulative grade 85% for graduate nurses with 3 unsuccessful NCLEX-RN attempts</w:t>
      </w:r>
    </w:p>
    <w:p w:rsidR="00297B88" w:rsidRPr="00297B88" w:rsidRDefault="00297B88" w:rsidP="00297B88">
      <w:pPr>
        <w:numPr>
          <w:ilvl w:val="1"/>
          <w:numId w:val="7"/>
        </w:numPr>
        <w:rPr>
          <w:rFonts w:eastAsiaTheme="minorEastAsia"/>
          <w:noProof/>
        </w:rPr>
      </w:pPr>
      <w:r w:rsidRPr="00297B88">
        <w:rPr>
          <w:rFonts w:eastAsiaTheme="minorEastAsia"/>
          <w:noProof/>
        </w:rPr>
        <w:t>Cumulative grade 85% for Foreign RN Graduates who want didactic and clinical preparation before taking the NCLEX-RN</w:t>
      </w:r>
    </w:p>
    <w:p w:rsidR="00297B88" w:rsidRDefault="00297B88" w:rsidP="00C023AB">
      <w:pPr>
        <w:rPr>
          <w:rFonts w:eastAsiaTheme="minorEastAsia"/>
          <w:noProof/>
        </w:rPr>
      </w:pPr>
      <w:r>
        <w:rPr>
          <w:rFonts w:eastAsiaTheme="minorEastAsia"/>
          <w:noProof/>
        </w:rPr>
        <w:t xml:space="preserve">Please </w:t>
      </w:r>
      <w:hyperlink r:id="rId5" w:history="1">
        <w:r w:rsidRPr="00297B88">
          <w:rPr>
            <w:rStyle w:val="Hyperlink"/>
            <w:rFonts w:eastAsiaTheme="minorEastAsia"/>
            <w:noProof/>
          </w:rPr>
          <w:t>click here</w:t>
        </w:r>
      </w:hyperlink>
      <w:r>
        <w:rPr>
          <w:rFonts w:eastAsiaTheme="minorEastAsia"/>
          <w:noProof/>
        </w:rPr>
        <w:t xml:space="preserve"> to review the </w:t>
      </w:r>
      <w:r w:rsidRPr="00297B88">
        <w:rPr>
          <w:rFonts w:eastAsiaTheme="minorEastAsia"/>
          <w:b/>
          <w:noProof/>
        </w:rPr>
        <w:t>drug and background policies</w:t>
      </w:r>
      <w:r>
        <w:rPr>
          <w:rFonts w:eastAsiaTheme="minorEastAsia"/>
          <w:noProof/>
        </w:rPr>
        <w:t xml:space="preserve">. </w:t>
      </w:r>
    </w:p>
    <w:p w:rsidR="00297B88" w:rsidRDefault="007E0EAF" w:rsidP="00C023AB">
      <w:pPr>
        <w:rPr>
          <w:rFonts w:eastAsiaTheme="minorEastAsia"/>
          <w:noProof/>
        </w:rPr>
      </w:pPr>
      <w:r>
        <w:rPr>
          <w:rFonts w:eastAsiaTheme="minorEastAsia"/>
          <w:noProof/>
        </w:rPr>
        <w:t>*Please note that other student issues, such as plagirism and unprofessional behavior is cause to be ineligible for clinical placement and/or dismissal of the program, with no refund.</w:t>
      </w:r>
    </w:p>
    <w:p w:rsidR="00421B2F" w:rsidRPr="00421B2F" w:rsidRDefault="00421B2F" w:rsidP="00421B2F">
      <w:pPr>
        <w:pStyle w:val="BodyText"/>
        <w:rPr>
          <w:b/>
        </w:rPr>
      </w:pPr>
      <w:r w:rsidRPr="00421B2F">
        <w:rPr>
          <w:b/>
        </w:rPr>
        <w:t>Registration:</w:t>
      </w:r>
    </w:p>
    <w:p w:rsidR="00421B2F" w:rsidRDefault="00421B2F" w:rsidP="00421B2F">
      <w:pPr>
        <w:pStyle w:val="BodyText"/>
        <w:jc w:val="center"/>
        <w:rPr>
          <w:b/>
          <w:u w:val="single"/>
        </w:rPr>
      </w:pPr>
    </w:p>
    <w:p w:rsidR="00421B2F" w:rsidRDefault="00421B2F" w:rsidP="00421B2F">
      <w:pPr>
        <w:pStyle w:val="BodyText"/>
      </w:pPr>
      <w:r>
        <w:t xml:space="preserve">You are not required to be an SPC student to register for this program. Please visit </w:t>
      </w:r>
      <w:hyperlink r:id="rId6" w:history="1">
        <w:r w:rsidRPr="003612C6">
          <w:rPr>
            <w:rStyle w:val="Hyperlink"/>
          </w:rPr>
          <w:t>https://spcollege.augusoft.net/</w:t>
        </w:r>
      </w:hyperlink>
      <w:r>
        <w:t xml:space="preserve"> and “Login/Create Account.” You will be able to add the course to your cart, and pay on-line. </w:t>
      </w:r>
    </w:p>
    <w:p w:rsidR="00421B2F" w:rsidRDefault="00421B2F" w:rsidP="00C72550">
      <w:pPr>
        <w:pStyle w:val="ListParagraph"/>
        <w:ind w:left="1446"/>
      </w:pPr>
    </w:p>
    <w:p w:rsidR="00D03412" w:rsidRPr="00D03412" w:rsidRDefault="00D03412" w:rsidP="00D03412">
      <w:pPr>
        <w:pStyle w:val="BodyText"/>
        <w:rPr>
          <w:b/>
        </w:rPr>
      </w:pPr>
      <w:r w:rsidRPr="00D03412">
        <w:rPr>
          <w:b/>
        </w:rPr>
        <w:t xml:space="preserve">Refund Policy: </w:t>
      </w:r>
    </w:p>
    <w:p w:rsidR="00D03412" w:rsidRDefault="00D03412" w:rsidP="00D03412">
      <w:pPr>
        <w:pStyle w:val="BodyText"/>
      </w:pPr>
    </w:p>
    <w:p w:rsidR="00D03412" w:rsidRDefault="00D03412" w:rsidP="00D03412">
      <w:pPr>
        <w:pStyle w:val="BodyText"/>
        <w:rPr>
          <w:rStyle w:val="Hyperlink"/>
        </w:rPr>
      </w:pPr>
      <w:r w:rsidRPr="00482AB4">
        <w:t xml:space="preserve">Fees are refundable if a student withdraws in </w:t>
      </w:r>
      <w:r w:rsidRPr="00482AB4">
        <w:rPr>
          <w:u w:val="single"/>
        </w:rPr>
        <w:t>writing</w:t>
      </w:r>
      <w:r w:rsidRPr="00482AB4">
        <w:t xml:space="preserve"> prior to the first class meeting or prior to the second meeting of a class lasting more than one day.  However, fees are not refundable once the </w:t>
      </w:r>
      <w:r w:rsidRPr="00482AB4">
        <w:lastRenderedPageBreak/>
        <w:t>student has logged in to the online content for the course. </w:t>
      </w:r>
      <w:r w:rsidRPr="00482AB4">
        <w:br/>
        <w:t> </w:t>
      </w:r>
      <w:r w:rsidRPr="00482AB4">
        <w:br/>
        <w:t xml:space="preserve">For a refund, email us at </w:t>
      </w:r>
      <w:hyperlink r:id="rId7" w:history="1">
        <w:r w:rsidRPr="00482AB4">
          <w:rPr>
            <w:rStyle w:val="Hyperlink"/>
          </w:rPr>
          <w:t>workforce@spcollege.edu</w:t>
        </w:r>
      </w:hyperlink>
      <w:r w:rsidRPr="00482AB4">
        <w:t xml:space="preserve"> or fax us at 727-341-3186.  All course materials (books, assessments, handouts, disks, unique online codes, etc.) must be returned, unused, within three days of the refund request in order for full refunds to be processed.  If course materials are used or not returned within the three day time period, a partial refund (the cost of course minus the cost of course materials) will b</w:t>
      </w:r>
      <w:r>
        <w:t>e given.</w:t>
      </w:r>
    </w:p>
    <w:p w:rsidR="00C72550" w:rsidRDefault="00C72550" w:rsidP="00C72550">
      <w:pPr>
        <w:pStyle w:val="ListParagraph"/>
        <w:ind w:left="1446"/>
      </w:pPr>
    </w:p>
    <w:p w:rsidR="00812AA8" w:rsidRPr="00812AA8" w:rsidRDefault="00812AA8" w:rsidP="00812AA8">
      <w:pPr>
        <w:pStyle w:val="ListParagraph"/>
        <w:ind w:left="1446"/>
        <w:jc w:val="center"/>
        <w:rPr>
          <w:b/>
          <w:u w:val="single"/>
        </w:rPr>
      </w:pPr>
      <w:r w:rsidRPr="00812AA8">
        <w:rPr>
          <w:b/>
          <w:u w:val="single"/>
        </w:rPr>
        <w:t>FAQ</w:t>
      </w:r>
    </w:p>
    <w:p w:rsidR="00812AA8" w:rsidRDefault="00812AA8" w:rsidP="00812AA8">
      <w:pPr>
        <w:rPr>
          <w:rFonts w:eastAsiaTheme="minorEastAsia"/>
          <w:noProof/>
        </w:rPr>
      </w:pPr>
    </w:p>
    <w:p w:rsidR="00812AA8" w:rsidRPr="0080319C" w:rsidRDefault="00812AA8" w:rsidP="00812AA8">
      <w:pPr>
        <w:rPr>
          <w:b/>
        </w:rPr>
      </w:pPr>
      <w:r w:rsidRPr="0080319C">
        <w:rPr>
          <w:b/>
        </w:rPr>
        <w:t xml:space="preserve">Q. Who is the program for? </w:t>
      </w:r>
    </w:p>
    <w:p w:rsidR="00812AA8" w:rsidRDefault="00812AA8" w:rsidP="00812AA8">
      <w:r w:rsidRPr="0080319C">
        <w:rPr>
          <w:b/>
        </w:rPr>
        <w:t>A.</w:t>
      </w:r>
      <w:r>
        <w:t xml:space="preserve"> This program is designed for the following individuals: </w:t>
      </w:r>
    </w:p>
    <w:p w:rsidR="00812AA8" w:rsidRDefault="00812AA8" w:rsidP="00812AA8">
      <w:pPr>
        <w:pStyle w:val="ListParagraph"/>
        <w:numPr>
          <w:ilvl w:val="0"/>
          <w:numId w:val="1"/>
        </w:numPr>
      </w:pPr>
      <w:r>
        <w:t>Failed NCLEX on 3 attempts, does not hold RN license in Florida</w:t>
      </w:r>
    </w:p>
    <w:p w:rsidR="00812AA8" w:rsidRDefault="00812AA8" w:rsidP="00812AA8">
      <w:pPr>
        <w:pStyle w:val="ListParagraph"/>
        <w:numPr>
          <w:ilvl w:val="0"/>
          <w:numId w:val="1"/>
        </w:numPr>
      </w:pPr>
      <w:r>
        <w:t>Out of country nurse, does not hold RN license in Florida</w:t>
      </w:r>
    </w:p>
    <w:p w:rsidR="00812AA8" w:rsidRDefault="00812AA8" w:rsidP="00812AA8">
      <w:pPr>
        <w:pStyle w:val="ListParagraph"/>
        <w:numPr>
          <w:ilvl w:val="0"/>
          <w:numId w:val="1"/>
        </w:numPr>
      </w:pPr>
      <w:r>
        <w:t>IPN Remediation, currently holds RN license in Florida</w:t>
      </w:r>
    </w:p>
    <w:p w:rsidR="00812AA8" w:rsidRDefault="00812AA8" w:rsidP="00812AA8">
      <w:pPr>
        <w:pStyle w:val="ListParagraph"/>
        <w:numPr>
          <w:ilvl w:val="0"/>
          <w:numId w:val="1"/>
        </w:numPr>
      </w:pPr>
      <w:r>
        <w:t>No recent bedside experience, currently holds RN license in Florida</w:t>
      </w:r>
    </w:p>
    <w:p w:rsidR="00812AA8" w:rsidRDefault="00812AA8" w:rsidP="00812AA8">
      <w:pPr>
        <w:pStyle w:val="ListParagraph"/>
        <w:numPr>
          <w:ilvl w:val="0"/>
          <w:numId w:val="1"/>
        </w:numPr>
      </w:pPr>
      <w:r>
        <w:t>Let RN license lapse, does not currently hold RN License in Florida</w:t>
      </w:r>
    </w:p>
    <w:p w:rsidR="00812AA8" w:rsidRPr="00C72550" w:rsidRDefault="00812AA8" w:rsidP="00812AA8">
      <w:pPr>
        <w:rPr>
          <w:b/>
        </w:rPr>
      </w:pPr>
      <w:r w:rsidRPr="00C72550">
        <w:rPr>
          <w:b/>
        </w:rPr>
        <w:t xml:space="preserve">Q. When is the program?  </w:t>
      </w:r>
    </w:p>
    <w:p w:rsidR="00812AA8" w:rsidRDefault="00812AA8" w:rsidP="00812AA8">
      <w:r w:rsidRPr="00C72550">
        <w:rPr>
          <w:b/>
        </w:rPr>
        <w:t>A</w:t>
      </w:r>
      <w:r>
        <w:rPr>
          <w:b/>
        </w:rPr>
        <w:t>. January 14-</w:t>
      </w:r>
      <w:r>
        <w:t xml:space="preserve"> </w:t>
      </w:r>
      <w:r w:rsidRPr="001900BE">
        <w:rPr>
          <w:b/>
        </w:rPr>
        <w:t>May 31,</w:t>
      </w:r>
      <w:r>
        <w:t xml:space="preserve"> 2019 for the Theory and Simulation Labs. Clinical Preceptorship will be completed from June 1-August 1, 2019. </w:t>
      </w:r>
    </w:p>
    <w:p w:rsidR="00812AA8" w:rsidRPr="00C72550" w:rsidRDefault="00812AA8" w:rsidP="00812AA8">
      <w:pPr>
        <w:rPr>
          <w:b/>
        </w:rPr>
      </w:pPr>
      <w:r>
        <w:rPr>
          <w:b/>
        </w:rPr>
        <w:t xml:space="preserve">Q. What is the program structure? </w:t>
      </w:r>
    </w:p>
    <w:p w:rsidR="00812AA8" w:rsidRDefault="00812AA8" w:rsidP="00812AA8">
      <w:r>
        <w:rPr>
          <w:b/>
        </w:rPr>
        <w:t xml:space="preserve">A. </w:t>
      </w:r>
      <w:r>
        <w:t xml:space="preserve">The program is comprised of theory, simulation labs, and a 96 hours clinical preceptorship. </w:t>
      </w:r>
    </w:p>
    <w:p w:rsidR="00812AA8" w:rsidRDefault="00812AA8" w:rsidP="00812AA8">
      <w:pPr>
        <w:pStyle w:val="ListParagraph"/>
        <w:ind w:left="1446"/>
      </w:pPr>
      <w:r w:rsidRPr="00C72550">
        <w:rPr>
          <w:b/>
        </w:rPr>
        <w:t>Theory</w:t>
      </w:r>
      <w:r>
        <w:t xml:space="preserve"> is delivered in an online format. All coursework is completed and graded by the instructor. Due dates for assignments must be followed. The online portion is </w:t>
      </w:r>
      <w:r w:rsidRPr="00867DE4">
        <w:rPr>
          <w:u w:val="single"/>
        </w:rPr>
        <w:t>not</w:t>
      </w:r>
      <w:r>
        <w:t xml:space="preserve"> an “at your own pace” component. The curriculum includes Medical-Surgical Nursing, OB/GYN, and Pediatrics, as required by the Florida Board of Nursing. </w:t>
      </w:r>
    </w:p>
    <w:p w:rsidR="00812AA8" w:rsidRDefault="00812AA8" w:rsidP="00812AA8">
      <w:pPr>
        <w:pStyle w:val="ListParagraph"/>
        <w:ind w:left="1446"/>
      </w:pPr>
      <w:r w:rsidRPr="00C72550">
        <w:rPr>
          <w:b/>
        </w:rPr>
        <w:t>Simulation Lab</w:t>
      </w:r>
      <w:r>
        <w:t xml:space="preserve"> is delivered in a two-day format, and is face-to-face with an instructor. A skills competency check-off is required to attend the clinical preceptorship. If a student does not successfully complete the check-offs within the two-day lab, then s/he will be responsible for paying an additional fee for another simulation lab day. Each day is 8 hours and will be held on Saturdays at SPC’s Health Education Center in Pinellas Park, Florida. </w:t>
      </w:r>
    </w:p>
    <w:p w:rsidR="00812AA8" w:rsidRDefault="00812AA8" w:rsidP="00812AA8">
      <w:pPr>
        <w:pStyle w:val="ListParagraph"/>
        <w:ind w:left="1446"/>
      </w:pPr>
      <w:r>
        <w:rPr>
          <w:b/>
        </w:rPr>
        <w:t xml:space="preserve">Clinical Preceptorship </w:t>
      </w:r>
      <w:r>
        <w:t xml:space="preserve">consists of 96 hours in a local hospital on a Medical-Surgical Adult Unit. A clinical instructor is assigned to each student, and will conduct interviews with the preceptor and student. Pending successful completion of the program, the instructor will be write the required letter of completion to the BON. </w:t>
      </w:r>
    </w:p>
    <w:p w:rsidR="00812AA8" w:rsidRDefault="00812AA8" w:rsidP="00812AA8">
      <w:pPr>
        <w:pStyle w:val="ListParagraph"/>
        <w:ind w:left="1446"/>
      </w:pPr>
    </w:p>
    <w:p w:rsidR="00812AA8" w:rsidRPr="00B615DB" w:rsidRDefault="00812AA8" w:rsidP="00812AA8">
      <w:pPr>
        <w:pStyle w:val="ListParagraph"/>
        <w:ind w:left="0" w:hanging="90"/>
        <w:rPr>
          <w:b/>
        </w:rPr>
      </w:pPr>
      <w:r w:rsidRPr="00B615DB">
        <w:rPr>
          <w:b/>
        </w:rPr>
        <w:t xml:space="preserve">Q. What am I required to attend face-to-face? </w:t>
      </w:r>
    </w:p>
    <w:p w:rsidR="00812AA8" w:rsidRDefault="00812AA8" w:rsidP="00812AA8">
      <w:pPr>
        <w:pStyle w:val="ListParagraph"/>
        <w:ind w:left="0" w:hanging="90"/>
      </w:pPr>
    </w:p>
    <w:p w:rsidR="00812AA8" w:rsidRDefault="00812AA8" w:rsidP="00812AA8">
      <w:pPr>
        <w:pStyle w:val="ListParagraph"/>
        <w:ind w:left="0" w:hanging="90"/>
      </w:pPr>
      <w:r w:rsidRPr="00B615DB">
        <w:rPr>
          <w:b/>
        </w:rPr>
        <w:t>A.</w:t>
      </w:r>
      <w:r>
        <w:t xml:space="preserve"> The following orientations and labs are required face-to-face: </w:t>
      </w:r>
    </w:p>
    <w:p w:rsidR="00812AA8" w:rsidRDefault="00812AA8" w:rsidP="00812AA8">
      <w:pPr>
        <w:pStyle w:val="ListParagraph"/>
        <w:ind w:left="0" w:hanging="90"/>
      </w:pPr>
    </w:p>
    <w:p w:rsidR="00812AA8" w:rsidRPr="004B58CB" w:rsidRDefault="00812AA8" w:rsidP="00812AA8">
      <w:pPr>
        <w:pStyle w:val="ListParagraph"/>
        <w:numPr>
          <w:ilvl w:val="0"/>
          <w:numId w:val="4"/>
        </w:numPr>
        <w:rPr>
          <w:b/>
        </w:rPr>
      </w:pPr>
      <w:r w:rsidRPr="004B58CB">
        <w:rPr>
          <w:b/>
        </w:rPr>
        <w:t>Introduction Orientation</w:t>
      </w:r>
    </w:p>
    <w:p w:rsidR="00812AA8" w:rsidRDefault="00812AA8" w:rsidP="00812AA8">
      <w:pPr>
        <w:pStyle w:val="ListParagraph"/>
        <w:numPr>
          <w:ilvl w:val="1"/>
          <w:numId w:val="4"/>
        </w:numPr>
      </w:pPr>
      <w:r>
        <w:t>Saturday, January 12, 2019</w:t>
      </w:r>
    </w:p>
    <w:p w:rsidR="00812AA8" w:rsidRDefault="00812AA8" w:rsidP="00812AA8">
      <w:pPr>
        <w:pStyle w:val="ListParagraph"/>
        <w:numPr>
          <w:ilvl w:val="1"/>
          <w:numId w:val="4"/>
        </w:numPr>
      </w:pPr>
      <w:r>
        <w:t>9:00 a.m.-2:00 p.m.</w:t>
      </w:r>
    </w:p>
    <w:p w:rsidR="00812AA8" w:rsidRDefault="00812AA8" w:rsidP="00812AA8">
      <w:pPr>
        <w:pStyle w:val="ListParagraph"/>
        <w:numPr>
          <w:ilvl w:val="1"/>
          <w:numId w:val="4"/>
        </w:numPr>
      </w:pPr>
      <w:r>
        <w:t>EPI Center</w:t>
      </w:r>
    </w:p>
    <w:p w:rsidR="00812AA8" w:rsidRPr="004B58CB" w:rsidRDefault="00812AA8" w:rsidP="00812AA8">
      <w:pPr>
        <w:pStyle w:val="ListParagraph"/>
        <w:numPr>
          <w:ilvl w:val="0"/>
          <w:numId w:val="4"/>
        </w:numPr>
        <w:rPr>
          <w:b/>
        </w:rPr>
      </w:pPr>
      <w:r w:rsidRPr="004B58CB">
        <w:rPr>
          <w:b/>
        </w:rPr>
        <w:t>Clinical Orientation</w:t>
      </w:r>
    </w:p>
    <w:p w:rsidR="00812AA8" w:rsidRDefault="004D6466" w:rsidP="00812AA8">
      <w:pPr>
        <w:pStyle w:val="ListParagraph"/>
        <w:numPr>
          <w:ilvl w:val="1"/>
          <w:numId w:val="4"/>
        </w:numPr>
      </w:pPr>
      <w:r>
        <w:t>Saturday, March 23</w:t>
      </w:r>
      <w:r w:rsidR="00812AA8">
        <w:t>, 2019</w:t>
      </w:r>
    </w:p>
    <w:p w:rsidR="00812AA8" w:rsidRDefault="00812AA8" w:rsidP="00812AA8">
      <w:pPr>
        <w:pStyle w:val="ListParagraph"/>
        <w:numPr>
          <w:ilvl w:val="1"/>
          <w:numId w:val="4"/>
        </w:numPr>
      </w:pPr>
      <w:r>
        <w:t>9:00 a.m.-2:00 p.m.</w:t>
      </w:r>
    </w:p>
    <w:p w:rsidR="00812AA8" w:rsidRDefault="00812AA8" w:rsidP="00812AA8">
      <w:pPr>
        <w:pStyle w:val="ListParagraph"/>
        <w:numPr>
          <w:ilvl w:val="1"/>
          <w:numId w:val="4"/>
        </w:numPr>
      </w:pPr>
      <w:r>
        <w:t>EPI Center</w:t>
      </w:r>
    </w:p>
    <w:p w:rsidR="00812AA8" w:rsidRPr="004B58CB" w:rsidRDefault="00812AA8" w:rsidP="00812AA8">
      <w:pPr>
        <w:pStyle w:val="ListParagraph"/>
        <w:numPr>
          <w:ilvl w:val="0"/>
          <w:numId w:val="4"/>
        </w:numPr>
        <w:rPr>
          <w:b/>
        </w:rPr>
      </w:pPr>
      <w:r w:rsidRPr="004B58CB">
        <w:rPr>
          <w:b/>
        </w:rPr>
        <w:t>Simulation Labs</w:t>
      </w:r>
    </w:p>
    <w:p w:rsidR="00812AA8" w:rsidRDefault="00812AA8" w:rsidP="00812AA8">
      <w:pPr>
        <w:pStyle w:val="ListParagraph"/>
        <w:numPr>
          <w:ilvl w:val="1"/>
          <w:numId w:val="4"/>
        </w:numPr>
      </w:pPr>
      <w:r>
        <w:t>Saturdays (2 days)</w:t>
      </w:r>
    </w:p>
    <w:p w:rsidR="00812AA8" w:rsidRDefault="00812AA8" w:rsidP="00812AA8">
      <w:pPr>
        <w:pStyle w:val="ListParagraph"/>
        <w:numPr>
          <w:ilvl w:val="1"/>
          <w:numId w:val="4"/>
        </w:numPr>
      </w:pPr>
      <w:r>
        <w:t>Dates TBD</w:t>
      </w:r>
    </w:p>
    <w:p w:rsidR="00812AA8" w:rsidRDefault="00812AA8" w:rsidP="00812AA8">
      <w:pPr>
        <w:pStyle w:val="ListParagraph"/>
        <w:numPr>
          <w:ilvl w:val="1"/>
          <w:numId w:val="4"/>
        </w:numPr>
      </w:pPr>
      <w:r>
        <w:t>8:30 a.m.-4:30 p.m.</w:t>
      </w:r>
    </w:p>
    <w:p w:rsidR="00812AA8" w:rsidRPr="004B58CB" w:rsidRDefault="00812AA8" w:rsidP="00812AA8">
      <w:pPr>
        <w:pStyle w:val="ListParagraph"/>
        <w:numPr>
          <w:ilvl w:val="0"/>
          <w:numId w:val="4"/>
        </w:numPr>
        <w:rPr>
          <w:b/>
        </w:rPr>
      </w:pPr>
      <w:r w:rsidRPr="004B58CB">
        <w:rPr>
          <w:b/>
        </w:rPr>
        <w:t>Clinical Preceptorship</w:t>
      </w:r>
    </w:p>
    <w:p w:rsidR="00812AA8" w:rsidRDefault="00812AA8" w:rsidP="00812AA8">
      <w:pPr>
        <w:pStyle w:val="ListParagraph"/>
        <w:numPr>
          <w:ilvl w:val="1"/>
          <w:numId w:val="4"/>
        </w:numPr>
      </w:pPr>
      <w:r>
        <w:t>Clinical site, 96 hours</w:t>
      </w:r>
    </w:p>
    <w:p w:rsidR="00812AA8" w:rsidRDefault="00812AA8" w:rsidP="00812AA8">
      <w:pPr>
        <w:pStyle w:val="ListParagraph"/>
        <w:numPr>
          <w:ilvl w:val="1"/>
          <w:numId w:val="4"/>
        </w:numPr>
      </w:pPr>
      <w:r>
        <w:t>Dates TBD</w:t>
      </w:r>
    </w:p>
    <w:p w:rsidR="00C6048C" w:rsidRDefault="00C6048C"/>
    <w:sectPr w:rsidR="00C6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E2F"/>
    <w:multiLevelType w:val="hybridMultilevel"/>
    <w:tmpl w:val="284C5028"/>
    <w:lvl w:ilvl="0" w:tplc="6B6E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54A28"/>
    <w:multiLevelType w:val="hybridMultilevel"/>
    <w:tmpl w:val="6E2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56CCD"/>
    <w:multiLevelType w:val="hybridMultilevel"/>
    <w:tmpl w:val="98A43D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5324278"/>
    <w:multiLevelType w:val="hybridMultilevel"/>
    <w:tmpl w:val="74D81A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FC32DB6"/>
    <w:multiLevelType w:val="multilevel"/>
    <w:tmpl w:val="91423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5486A"/>
    <w:multiLevelType w:val="multilevel"/>
    <w:tmpl w:val="BAAA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66291"/>
    <w:multiLevelType w:val="multilevel"/>
    <w:tmpl w:val="2E88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C"/>
    <w:rsid w:val="001900BE"/>
    <w:rsid w:val="00297B88"/>
    <w:rsid w:val="0030671F"/>
    <w:rsid w:val="00372784"/>
    <w:rsid w:val="00405072"/>
    <w:rsid w:val="00421B2F"/>
    <w:rsid w:val="00442CEA"/>
    <w:rsid w:val="00497253"/>
    <w:rsid w:val="004B58CB"/>
    <w:rsid w:val="004D6466"/>
    <w:rsid w:val="004E3C63"/>
    <w:rsid w:val="00502174"/>
    <w:rsid w:val="00560A2F"/>
    <w:rsid w:val="005D1BB0"/>
    <w:rsid w:val="00676E31"/>
    <w:rsid w:val="007D737D"/>
    <w:rsid w:val="007E0EAF"/>
    <w:rsid w:val="007E4562"/>
    <w:rsid w:val="0080319C"/>
    <w:rsid w:val="00812AA8"/>
    <w:rsid w:val="00867DE4"/>
    <w:rsid w:val="00AF7253"/>
    <w:rsid w:val="00B2447D"/>
    <w:rsid w:val="00B615DB"/>
    <w:rsid w:val="00BE6F22"/>
    <w:rsid w:val="00C023AB"/>
    <w:rsid w:val="00C6048C"/>
    <w:rsid w:val="00C72550"/>
    <w:rsid w:val="00D03412"/>
    <w:rsid w:val="00EB5AA3"/>
    <w:rsid w:val="00F6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7BDC-C751-41C5-958E-D5FD232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8C"/>
    <w:pPr>
      <w:ind w:left="720"/>
      <w:contextualSpacing/>
    </w:pPr>
  </w:style>
  <w:style w:type="character" w:styleId="Hyperlink">
    <w:name w:val="Hyperlink"/>
    <w:basedOn w:val="DefaultParagraphFont"/>
    <w:uiPriority w:val="99"/>
    <w:unhideWhenUsed/>
    <w:rsid w:val="00C023AB"/>
    <w:rPr>
      <w:color w:val="0000FF"/>
      <w:u w:val="single"/>
    </w:rPr>
  </w:style>
  <w:style w:type="paragraph" w:styleId="NormalWeb">
    <w:name w:val="Normal (Web)"/>
    <w:basedOn w:val="Normal"/>
    <w:uiPriority w:val="99"/>
    <w:semiHidden/>
    <w:unhideWhenUsed/>
    <w:rsid w:val="00F6212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0341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0341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130">
      <w:bodyDiv w:val="1"/>
      <w:marLeft w:val="0"/>
      <w:marRight w:val="0"/>
      <w:marTop w:val="0"/>
      <w:marBottom w:val="0"/>
      <w:divBdr>
        <w:top w:val="none" w:sz="0" w:space="0" w:color="auto"/>
        <w:left w:val="none" w:sz="0" w:space="0" w:color="auto"/>
        <w:bottom w:val="none" w:sz="0" w:space="0" w:color="auto"/>
        <w:right w:val="none" w:sz="0" w:space="0" w:color="auto"/>
      </w:divBdr>
    </w:div>
    <w:div w:id="506293249">
      <w:bodyDiv w:val="1"/>
      <w:marLeft w:val="0"/>
      <w:marRight w:val="0"/>
      <w:marTop w:val="0"/>
      <w:marBottom w:val="0"/>
      <w:divBdr>
        <w:top w:val="none" w:sz="0" w:space="0" w:color="auto"/>
        <w:left w:val="none" w:sz="0" w:space="0" w:color="auto"/>
        <w:bottom w:val="none" w:sz="0" w:space="0" w:color="auto"/>
        <w:right w:val="none" w:sz="0" w:space="0" w:color="auto"/>
      </w:divBdr>
    </w:div>
    <w:div w:id="560794206">
      <w:bodyDiv w:val="1"/>
      <w:marLeft w:val="0"/>
      <w:marRight w:val="0"/>
      <w:marTop w:val="0"/>
      <w:marBottom w:val="0"/>
      <w:divBdr>
        <w:top w:val="none" w:sz="0" w:space="0" w:color="auto"/>
        <w:left w:val="none" w:sz="0" w:space="0" w:color="auto"/>
        <w:bottom w:val="none" w:sz="0" w:space="0" w:color="auto"/>
        <w:right w:val="none" w:sz="0" w:space="0" w:color="auto"/>
      </w:divBdr>
    </w:div>
    <w:div w:id="630091121">
      <w:bodyDiv w:val="1"/>
      <w:marLeft w:val="0"/>
      <w:marRight w:val="0"/>
      <w:marTop w:val="0"/>
      <w:marBottom w:val="0"/>
      <w:divBdr>
        <w:top w:val="none" w:sz="0" w:space="0" w:color="auto"/>
        <w:left w:val="none" w:sz="0" w:space="0" w:color="auto"/>
        <w:bottom w:val="none" w:sz="0" w:space="0" w:color="auto"/>
        <w:right w:val="none" w:sz="0" w:space="0" w:color="auto"/>
      </w:divBdr>
    </w:div>
    <w:div w:id="1209806960">
      <w:bodyDiv w:val="1"/>
      <w:marLeft w:val="0"/>
      <w:marRight w:val="0"/>
      <w:marTop w:val="0"/>
      <w:marBottom w:val="0"/>
      <w:divBdr>
        <w:top w:val="none" w:sz="0" w:space="0" w:color="auto"/>
        <w:left w:val="none" w:sz="0" w:space="0" w:color="auto"/>
        <w:bottom w:val="none" w:sz="0" w:space="0" w:color="auto"/>
        <w:right w:val="none" w:sz="0" w:space="0" w:color="auto"/>
      </w:divBdr>
    </w:div>
    <w:div w:id="1362239267">
      <w:bodyDiv w:val="1"/>
      <w:marLeft w:val="0"/>
      <w:marRight w:val="0"/>
      <w:marTop w:val="0"/>
      <w:marBottom w:val="0"/>
      <w:divBdr>
        <w:top w:val="none" w:sz="0" w:space="0" w:color="auto"/>
        <w:left w:val="none" w:sz="0" w:space="0" w:color="auto"/>
        <w:bottom w:val="none" w:sz="0" w:space="0" w:color="auto"/>
        <w:right w:val="none" w:sz="0" w:space="0" w:color="auto"/>
      </w:divBdr>
    </w:div>
    <w:div w:id="1659842433">
      <w:bodyDiv w:val="1"/>
      <w:marLeft w:val="0"/>
      <w:marRight w:val="0"/>
      <w:marTop w:val="0"/>
      <w:marBottom w:val="0"/>
      <w:divBdr>
        <w:top w:val="none" w:sz="0" w:space="0" w:color="auto"/>
        <w:left w:val="none" w:sz="0" w:space="0" w:color="auto"/>
        <w:bottom w:val="none" w:sz="0" w:space="0" w:color="auto"/>
        <w:right w:val="none" w:sz="0" w:space="0" w:color="auto"/>
      </w:divBdr>
    </w:div>
    <w:div w:id="18375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force@sp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college.augusoft.net/" TargetMode="External"/><Relationship Id="rId5" Type="http://schemas.openxmlformats.org/officeDocument/2006/relationships/hyperlink" Target="file:///C:\Users\Reesher.Shaeleigh\Downloads\Drug-background-screening-health-programs%20(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Shaeleigh Reesher</dc:creator>
  <cp:keywords/>
  <dc:description/>
  <cp:lastModifiedBy>Charly Quinones</cp:lastModifiedBy>
  <cp:revision>2</cp:revision>
  <dcterms:created xsi:type="dcterms:W3CDTF">2018-09-25T16:45:00Z</dcterms:created>
  <dcterms:modified xsi:type="dcterms:W3CDTF">2018-09-25T16:45:00Z</dcterms:modified>
</cp:coreProperties>
</file>